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Call4Health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Resident Set Up: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 order to cover night call, residents will need to have downloaded and set up a MiSecure account before the start of their shift as below. The PDFs at the bottom of this page show the download and set up instructions.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Download the "C4HSecure" app on your phone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Upon opening the app, it will ask for your username and password.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The normal username format is firstname.lastname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 can also enter your phone number into the username field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Enter only your username, and then hit “Forgot/reset password”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will be sent a verification code to your phone. After inputting this, you will be prompted to reset your password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i w:val="1"/>
          <w:rtl w:val="0"/>
        </w:rPr>
        <w:t xml:space="preserve">If you have any issues logging in, see troubleshooting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To be alerted of a patient call: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settings: make sure your notifications are on, select an interval for notification reminders, select a notification sound, and enter your callback number (callback number will be masked from the patient)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settings: go to “Session Timeout” and make sure “Push Notification” is turned on. This ensures that you will still get notifications even if the session “auto logs out”.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Residents will receive a notification via the app when a patient calls in, so make sure that app notifications are on (instructions in attached PDF).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the app team doesn't see that they have read the notification alert, they will follow it up by calling the resident to alert them of the notification.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Troubleshooting set up re account questions, updates, password resets: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Please email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oncall@call4health.com</w:t>
        </w:r>
      </w:hyperlink>
      <w:r w:rsidDel="00000000" w:rsidR="00000000" w:rsidRPr="00000000">
        <w:rPr>
          <w:rtl w:val="0"/>
        </w:rPr>
        <w:t xml:space="preserve">, include that you are a provider at Mount Sinai and the account number is 16911030vb. 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Troubleshooting when on-call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the call forwarding number is 646-517-3101 and press 9 and ask to speak to a supervisor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can also email the team 24/7 at Mt Sinai AH Admin: mtsinaiafterhoursadmin@call4health.com for immediate assistance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 ready to provide the account number for IMA: 16911030vb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For providing updates to call schedule</w:t>
      </w:r>
      <w:r w:rsidDel="00000000" w:rsidR="00000000" w:rsidRPr="00000000">
        <w:rPr>
          <w:rtl w:val="0"/>
        </w:rPr>
        <w:t xml:space="preserve">: EMAIL ANETA AND ALAN GODOY who will email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oncall@call4health.com</w:t>
        </w:r>
      </w:hyperlink>
      <w:r w:rsidDel="00000000" w:rsidR="00000000" w:rsidRPr="00000000">
        <w:rPr>
          <w:rtl w:val="0"/>
        </w:rPr>
        <w:t xml:space="preserve"> to make changes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The live excel document is shared with the Call4Health team, though they will not be able to track changes made to dates they have already entered 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Provide Account number when emailing: </w:t>
      </w: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yellow"/>
          <w:rtl w:val="0"/>
        </w:rPr>
        <w:t xml:space="preserve">16911030vb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The application you will need to download is called “C4H Secure” and will look like the icon below:</w:t>
      </w:r>
    </w:p>
    <w:p w:rsidR="00000000" w:rsidDel="00000000" w:rsidP="00000000" w:rsidRDefault="00000000" w:rsidRPr="00000000" w14:paraId="00000026">
      <w:pPr>
        <w:shd w:fill="ffffff" w:val="clear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hd w:fill="ffffff" w:val="clear"/>
        <w:rPr>
          <w:color w:val="242424"/>
        </w:rPr>
      </w:pPr>
      <w:r w:rsidDel="00000000" w:rsidR="00000000" w:rsidRPr="00000000">
        <w:rPr>
          <w:color w:val="242424"/>
        </w:rPr>
        <w:drawing>
          <wp:inline distB="114300" distT="114300" distL="114300" distR="114300">
            <wp:extent cx="4305300" cy="2387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38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rPr>
          <w:color w:val="242424"/>
        </w:rPr>
      </w:pPr>
      <w:r w:rsidDel="00000000" w:rsidR="00000000" w:rsidRPr="00000000">
        <w:rPr>
          <w:b w:val="1"/>
          <w:color w:val="242424"/>
          <w:rtl w:val="0"/>
        </w:rPr>
        <w:t xml:space="preserve">Information Sheets: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color w:val="2424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color w:val="242424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Call4Health iOS: How 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color w:val="242424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Call4Health Android: How 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color w:val="242424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How to Forward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color w:val="242424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Comprehensive App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color w:val="2424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open?id=19Rpj8m560xlT-ebdaciZi5Km69fihyxI" TargetMode="External"/><Relationship Id="rId10" Type="http://schemas.openxmlformats.org/officeDocument/2006/relationships/hyperlink" Target="https://drive.google.com/open?id=1KJK_2Wd1b3qIKO3SANPKGU4zsjYeBqc6" TargetMode="External"/><Relationship Id="rId12" Type="http://schemas.openxmlformats.org/officeDocument/2006/relationships/hyperlink" Target="https://drive.google.com/open?id=1p6twZybkxQ-v8FhmVHW_n9vpdAsNKuaV" TargetMode="External"/><Relationship Id="rId9" Type="http://schemas.openxmlformats.org/officeDocument/2006/relationships/hyperlink" Target="https://drive.google.com/open?id=1u5HYs4eFEfrTFc050VsEbPFTB2uRG_32" TargetMode="External"/><Relationship Id="rId5" Type="http://schemas.openxmlformats.org/officeDocument/2006/relationships/styles" Target="styles.xml"/><Relationship Id="rId6" Type="http://schemas.openxmlformats.org/officeDocument/2006/relationships/hyperlink" Target="mailto:oncall@call4health.com" TargetMode="External"/><Relationship Id="rId7" Type="http://schemas.openxmlformats.org/officeDocument/2006/relationships/hyperlink" Target="mailto:oncall@call4health.com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