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DA" w:rsidRPr="00BB0347" w:rsidRDefault="00C90BDA" w:rsidP="00C90BDA">
      <w:pPr>
        <w:rPr>
          <w:rFonts w:ascii="Arial" w:eastAsia="Times New Roman" w:hAnsi="Arial" w:cs="Arial"/>
          <w:sz w:val="18"/>
          <w:szCs w:val="18"/>
        </w:rPr>
      </w:pPr>
      <w:r w:rsidRPr="00BB0347">
        <w:rPr>
          <w:rFonts w:ascii="Arial" w:eastAsia="Times New Roman" w:hAnsi="Arial" w:cs="Arial"/>
          <w:b/>
          <w:color w:val="FF0000"/>
          <w:sz w:val="18"/>
          <w:szCs w:val="18"/>
        </w:rPr>
        <w:t>Hypothyroidism</w:t>
      </w:r>
      <w:r>
        <w:rPr>
          <w:rFonts w:ascii="Arial" w:eastAsia="Times New Roman" w:hAnsi="Arial" w:cs="Arial"/>
          <w:b/>
          <w:color w:val="FF0000"/>
          <w:sz w:val="18"/>
          <w:szCs w:val="18"/>
        </w:rPr>
        <w:t xml:space="preserve"> </w:t>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t>By Ilana Ramer Bass</w:t>
      </w:r>
    </w:p>
    <w:p w:rsidR="00C90BDA" w:rsidRPr="00BB0347" w:rsidRDefault="00C90BDA" w:rsidP="00C90BDA">
      <w:pPr>
        <w:shd w:val="clear" w:color="auto" w:fill="FFFFFF"/>
        <w:rPr>
          <w:rFonts w:ascii="Arial" w:eastAsia="Times New Roman" w:hAnsi="Arial" w:cs="Arial"/>
          <w:color w:val="222222"/>
          <w:sz w:val="18"/>
          <w:szCs w:val="18"/>
        </w:rPr>
      </w:pPr>
      <w:r w:rsidRPr="00BB0347">
        <w:rPr>
          <w:rFonts w:ascii="Arial" w:eastAsia="Times New Roman" w:hAnsi="Arial" w:cs="Arial"/>
          <w:noProof/>
          <w:color w:val="FF0000"/>
          <w:sz w:val="18"/>
          <w:szCs w:val="18"/>
        </w:rPr>
        <w:drawing>
          <wp:anchor distT="0" distB="0" distL="114300" distR="114300" simplePos="0" relativeHeight="251659264" behindDoc="0" locked="0" layoutInCell="1" allowOverlap="1" wp14:anchorId="2DC76DF7" wp14:editId="56D26449">
            <wp:simplePos x="0" y="0"/>
            <wp:positionH relativeFrom="column">
              <wp:posOffset>4229100</wp:posOffset>
            </wp:positionH>
            <wp:positionV relativeFrom="paragraph">
              <wp:posOffset>80010</wp:posOffset>
            </wp:positionV>
            <wp:extent cx="1632585" cy="292798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2585" cy="292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BDA" w:rsidRDefault="00C90BDA" w:rsidP="00C90BDA">
      <w:pPr>
        <w:shd w:val="clear" w:color="auto" w:fill="FFFFFF"/>
        <w:rPr>
          <w:rFonts w:ascii="Arial" w:eastAsia="Times New Roman" w:hAnsi="Arial" w:cs="Arial"/>
          <w:b/>
          <w:bCs/>
          <w:color w:val="FF0000"/>
          <w:sz w:val="18"/>
          <w:szCs w:val="18"/>
        </w:rPr>
      </w:pPr>
      <w:r w:rsidRPr="00BB0347">
        <w:rPr>
          <w:rFonts w:ascii="Arial" w:eastAsia="Times New Roman" w:hAnsi="Arial" w:cs="Arial"/>
          <w:b/>
          <w:bCs/>
          <w:color w:val="FF0000"/>
          <w:sz w:val="18"/>
          <w:szCs w:val="18"/>
        </w:rPr>
        <w:t>Overview:</w:t>
      </w:r>
    </w:p>
    <w:p w:rsidR="00C90BDA" w:rsidRDefault="00C90BDA" w:rsidP="00C90BDA">
      <w:pPr>
        <w:shd w:val="clear" w:color="auto" w:fill="FFFFFF"/>
        <w:rPr>
          <w:rFonts w:ascii="Arial" w:eastAsia="Times New Roman" w:hAnsi="Arial" w:cs="Arial"/>
          <w:b/>
          <w:bCs/>
          <w:color w:val="FF0000"/>
          <w:sz w:val="18"/>
          <w:szCs w:val="18"/>
        </w:rPr>
      </w:pPr>
    </w:p>
    <w:p w:rsidR="00C90BDA" w:rsidRPr="00BA51EF" w:rsidRDefault="00C90BDA" w:rsidP="00C90BDA">
      <w:pPr>
        <w:shd w:val="clear" w:color="auto" w:fill="FFFFFF"/>
        <w:rPr>
          <w:rFonts w:ascii="Arial" w:eastAsia="Times New Roman" w:hAnsi="Arial" w:cs="Arial"/>
          <w:b/>
          <w:color w:val="222222"/>
          <w:sz w:val="18"/>
          <w:szCs w:val="18"/>
        </w:rPr>
      </w:pPr>
      <w:r>
        <w:rPr>
          <w:rFonts w:ascii="Arial" w:eastAsia="Times New Roman" w:hAnsi="Arial" w:cs="Arial"/>
          <w:b/>
          <w:color w:val="222222"/>
          <w:sz w:val="18"/>
          <w:szCs w:val="18"/>
        </w:rPr>
        <w:t>Types of Hypothyroidism:</w:t>
      </w:r>
    </w:p>
    <w:p w:rsidR="00C90BDA" w:rsidRPr="00BA51EF" w:rsidRDefault="00C90BDA" w:rsidP="00C90BDA">
      <w:pPr>
        <w:shd w:val="clear" w:color="auto" w:fill="FFFFFF"/>
        <w:rPr>
          <w:rFonts w:ascii="Arial" w:eastAsia="Times New Roman" w:hAnsi="Arial" w:cs="Arial"/>
          <w:b/>
          <w:bCs/>
          <w:color w:val="222222"/>
          <w:sz w:val="18"/>
          <w:szCs w:val="18"/>
        </w:rPr>
      </w:pPr>
      <w:r>
        <w:rPr>
          <w:rFonts w:ascii="Arial" w:eastAsia="Times New Roman" w:hAnsi="Arial" w:cs="Arial"/>
          <w:color w:val="222222"/>
          <w:sz w:val="18"/>
          <w:szCs w:val="18"/>
        </w:rPr>
        <w:t>(</w:t>
      </w:r>
      <w:r w:rsidRPr="00BA51EF">
        <w:rPr>
          <w:rFonts w:ascii="Arial" w:eastAsia="Times New Roman" w:hAnsi="Arial" w:cs="Arial"/>
          <w:color w:val="222222"/>
          <w:sz w:val="18"/>
          <w:szCs w:val="18"/>
        </w:rPr>
        <w:t xml:space="preserve">a) Primary hypothyroidism (problem in the gland itself): </w:t>
      </w:r>
      <w:r w:rsidRPr="00BA51EF">
        <w:rPr>
          <w:rFonts w:ascii="Arial" w:eastAsia="Times New Roman" w:hAnsi="Arial" w:cs="Arial"/>
          <w:b/>
          <w:color w:val="222222"/>
          <w:sz w:val="18"/>
          <w:szCs w:val="18"/>
        </w:rPr>
        <w:t>low T3/T4, high TSH</w:t>
      </w:r>
    </w:p>
    <w:p w:rsidR="00C90BDA" w:rsidRDefault="00C90BDA" w:rsidP="00C90BDA">
      <w:pPr>
        <w:pStyle w:val="ListParagraph"/>
        <w:numPr>
          <w:ilvl w:val="0"/>
          <w:numId w:val="2"/>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 xml:space="preserve">Accounts for 95% of cases of hypothyroidism </w:t>
      </w:r>
    </w:p>
    <w:p w:rsidR="00C90BDA" w:rsidRPr="00BA51EF" w:rsidRDefault="00C90BDA" w:rsidP="00C90BDA">
      <w:pPr>
        <w:pStyle w:val="ListParagraph"/>
        <w:numPr>
          <w:ilvl w:val="0"/>
          <w:numId w:val="2"/>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Causes: autoimmune thyroiditis, Hashimoto's, previous Graves/de Quervains or painless thyroiditis, Down' syndrome, Turner's syndrome, previous thyroidectomy or other neck surgery, previous iodine therapy, external radiation</w:t>
      </w:r>
    </w:p>
    <w:p w:rsidR="00C90BDA" w:rsidRDefault="00C90BDA" w:rsidP="00C90BDA">
      <w:pPr>
        <w:shd w:val="clear" w:color="auto" w:fill="FFFFFF"/>
        <w:rPr>
          <w:rFonts w:ascii="Arial" w:eastAsia="Times New Roman" w:hAnsi="Arial" w:cs="Arial"/>
          <w:color w:val="222222"/>
          <w:sz w:val="18"/>
          <w:szCs w:val="18"/>
        </w:rPr>
      </w:pPr>
    </w:p>
    <w:p w:rsidR="00C90BDA" w:rsidRPr="00BA51EF" w:rsidRDefault="00C90BDA" w:rsidP="00C90BDA">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 xml:space="preserve">(b) </w:t>
      </w:r>
      <w:r w:rsidRPr="00BA51EF">
        <w:rPr>
          <w:rFonts w:ascii="Arial" w:eastAsia="Times New Roman" w:hAnsi="Arial" w:cs="Arial"/>
          <w:color w:val="222222"/>
          <w:sz w:val="18"/>
          <w:szCs w:val="18"/>
        </w:rPr>
        <w:t>Subclinical hypothyroidism</w:t>
      </w:r>
      <w:r w:rsidRPr="00BA51EF">
        <w:rPr>
          <w:rFonts w:ascii="Arial" w:eastAsia="Times New Roman" w:hAnsi="Arial" w:cs="Arial"/>
          <w:b/>
          <w:color w:val="222222"/>
          <w:sz w:val="18"/>
          <w:szCs w:val="18"/>
        </w:rPr>
        <w:t>: high TSH but normal T3/T4</w:t>
      </w:r>
    </w:p>
    <w:p w:rsidR="00C90BDA" w:rsidRDefault="00C90BDA" w:rsidP="00C90BDA">
      <w:pPr>
        <w:shd w:val="clear" w:color="auto" w:fill="FFFFFF"/>
        <w:rPr>
          <w:rFonts w:ascii="Arial" w:eastAsia="Times New Roman" w:hAnsi="Arial" w:cs="Arial"/>
          <w:color w:val="222222"/>
          <w:sz w:val="18"/>
          <w:szCs w:val="18"/>
        </w:rPr>
      </w:pPr>
    </w:p>
    <w:p w:rsidR="00C90BDA" w:rsidRDefault="00C90BDA" w:rsidP="00C90BDA">
      <w:pPr>
        <w:shd w:val="clear" w:color="auto" w:fill="FFFFFF"/>
        <w:rPr>
          <w:rFonts w:ascii="Arial" w:eastAsia="Times New Roman" w:hAnsi="Arial" w:cs="Arial"/>
          <w:b/>
          <w:color w:val="222222"/>
          <w:sz w:val="18"/>
          <w:szCs w:val="18"/>
        </w:rPr>
      </w:pPr>
      <w:r>
        <w:rPr>
          <w:rFonts w:ascii="Arial" w:eastAsia="Times New Roman" w:hAnsi="Arial" w:cs="Arial"/>
          <w:color w:val="222222"/>
          <w:sz w:val="18"/>
          <w:szCs w:val="18"/>
        </w:rPr>
        <w:t xml:space="preserve">(c) </w:t>
      </w:r>
      <w:r w:rsidRPr="00BA51EF">
        <w:rPr>
          <w:rFonts w:ascii="Arial" w:eastAsia="Times New Roman" w:hAnsi="Arial" w:cs="Arial"/>
          <w:color w:val="222222"/>
          <w:sz w:val="18"/>
          <w:szCs w:val="18"/>
        </w:rPr>
        <w:t xml:space="preserve">Secondary/Tertiary/Central hypothyroidism (problem in the pituitary/hypothalamus glands): </w:t>
      </w:r>
      <w:r w:rsidRPr="00BA51EF">
        <w:rPr>
          <w:rFonts w:ascii="Arial" w:eastAsia="Times New Roman" w:hAnsi="Arial" w:cs="Arial"/>
          <w:b/>
          <w:color w:val="222222"/>
          <w:sz w:val="18"/>
          <w:szCs w:val="18"/>
        </w:rPr>
        <w:t>low T3/T4 and low/inappropriately normal TSH</w:t>
      </w:r>
    </w:p>
    <w:p w:rsidR="00C90BDA" w:rsidRPr="00BA51EF" w:rsidRDefault="00C90BDA" w:rsidP="00C90BDA">
      <w:pPr>
        <w:pStyle w:val="ListParagraph"/>
        <w:numPr>
          <w:ilvl w:val="0"/>
          <w:numId w:val="3"/>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Causes: hypothalamic or suprasellar mass, history of radiotherapy/surgery to the brain, infiltrative disease (sarcoid, hemochromatosis); pituitary tumor, hx of pituitary surgery/radiotherapy, Sheehan's syndrome</w:t>
      </w:r>
    </w:p>
    <w:p w:rsidR="00C90BDA" w:rsidRPr="00BB0347" w:rsidRDefault="00C90BDA" w:rsidP="00C90BDA">
      <w:pPr>
        <w:shd w:val="clear" w:color="auto" w:fill="FFFFFF"/>
        <w:rPr>
          <w:rFonts w:ascii="Arial" w:eastAsia="Times New Roman" w:hAnsi="Arial" w:cs="Arial"/>
          <w:color w:val="FF0000"/>
          <w:sz w:val="18"/>
          <w:szCs w:val="18"/>
        </w:rPr>
      </w:pPr>
    </w:p>
    <w:p w:rsidR="00C90BDA" w:rsidRPr="00BA51EF" w:rsidRDefault="00C90BDA" w:rsidP="00C90BDA">
      <w:pPr>
        <w:shd w:val="clear" w:color="auto" w:fill="FFFFFF"/>
        <w:rPr>
          <w:rFonts w:ascii="Arial" w:eastAsia="Times New Roman" w:hAnsi="Arial" w:cs="Arial"/>
          <w:b/>
          <w:bCs/>
          <w:color w:val="222222"/>
          <w:sz w:val="18"/>
          <w:szCs w:val="18"/>
        </w:rPr>
      </w:pPr>
      <w:r w:rsidRPr="00BA51EF">
        <w:rPr>
          <w:rFonts w:ascii="Arial" w:eastAsia="Times New Roman" w:hAnsi="Arial" w:cs="Arial"/>
          <w:b/>
          <w:bCs/>
          <w:color w:val="222222"/>
          <w:sz w:val="18"/>
          <w:szCs w:val="18"/>
        </w:rPr>
        <w:t>Pathophysiology/Clinical Signs/Symptoms:</w:t>
      </w:r>
    </w:p>
    <w:p w:rsidR="00C90BDA" w:rsidRPr="00BA51EF" w:rsidRDefault="00C90BDA" w:rsidP="00C90BDA">
      <w:pPr>
        <w:pStyle w:val="ListParagraph"/>
        <w:numPr>
          <w:ilvl w:val="0"/>
          <w:numId w:val="1"/>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Generalized slowing of metabolic processes</w:t>
      </w:r>
    </w:p>
    <w:p w:rsidR="00C90BDA" w:rsidRPr="00BA51EF" w:rsidRDefault="00C90BDA" w:rsidP="00C90BDA">
      <w:pPr>
        <w:pStyle w:val="ListParagraph"/>
        <w:numPr>
          <w:ilvl w:val="1"/>
          <w:numId w:val="1"/>
        </w:numPr>
        <w:shd w:val="clear" w:color="auto" w:fill="FFFFFF"/>
        <w:rPr>
          <w:rFonts w:ascii="Arial" w:eastAsia="Times New Roman" w:hAnsi="Arial" w:cs="Arial"/>
          <w:b/>
          <w:bCs/>
          <w:color w:val="222222"/>
          <w:sz w:val="18"/>
          <w:szCs w:val="18"/>
        </w:rPr>
      </w:pPr>
      <w:r w:rsidRPr="00BB0347">
        <w:sym w:font="Wingdings" w:char="F0E0"/>
      </w:r>
      <w:r w:rsidRPr="00BA51EF">
        <w:rPr>
          <w:rFonts w:ascii="Arial" w:eastAsia="Times New Roman" w:hAnsi="Arial" w:cs="Arial"/>
          <w:color w:val="222222"/>
          <w:sz w:val="18"/>
          <w:szCs w:val="18"/>
        </w:rPr>
        <w:t xml:space="preserve"> fatigue, weakness, cold intolerance, weight gain, constipation</w:t>
      </w:r>
    </w:p>
    <w:p w:rsidR="00C90BDA" w:rsidRPr="00BA51EF" w:rsidRDefault="00C90BDA" w:rsidP="00C90BDA">
      <w:pPr>
        <w:pStyle w:val="ListParagraph"/>
        <w:numPr>
          <w:ilvl w:val="0"/>
          <w:numId w:val="1"/>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Accumulation of matrix substances</w:t>
      </w:r>
    </w:p>
    <w:p w:rsidR="00C90BDA" w:rsidRPr="00BA51EF" w:rsidRDefault="00C90BDA" w:rsidP="00C90BDA">
      <w:pPr>
        <w:pStyle w:val="ListParagraph"/>
        <w:numPr>
          <w:ilvl w:val="1"/>
          <w:numId w:val="1"/>
        </w:numPr>
        <w:shd w:val="clear" w:color="auto" w:fill="FFFFFF"/>
        <w:rPr>
          <w:rFonts w:ascii="Arial" w:eastAsia="Times New Roman" w:hAnsi="Arial" w:cs="Arial"/>
          <w:b/>
          <w:bCs/>
          <w:color w:val="222222"/>
          <w:sz w:val="18"/>
          <w:szCs w:val="18"/>
        </w:rPr>
      </w:pPr>
      <w:r w:rsidRPr="00BB0347">
        <w:sym w:font="Wingdings" w:char="F0E0"/>
      </w:r>
      <w:r w:rsidRPr="00BA51EF">
        <w:rPr>
          <w:rFonts w:ascii="Arial" w:eastAsia="Times New Roman" w:hAnsi="Arial" w:cs="Arial"/>
          <w:color w:val="222222"/>
          <w:sz w:val="18"/>
          <w:szCs w:val="18"/>
        </w:rPr>
        <w:t xml:space="preserve"> coarse hair/skin, loss of lateral eyebrows, periorbital edema,  carpal tunnel syndrome</w:t>
      </w:r>
    </w:p>
    <w:p w:rsidR="00C90BDA" w:rsidRPr="00BA51EF" w:rsidRDefault="00C90BDA" w:rsidP="00C90BDA">
      <w:pPr>
        <w:pStyle w:val="ListParagraph"/>
        <w:numPr>
          <w:ilvl w:val="0"/>
          <w:numId w:val="1"/>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TRH increases prolactin levels which inhibit GnRH</w:t>
      </w:r>
    </w:p>
    <w:p w:rsidR="00C90BDA" w:rsidRPr="00BA51EF" w:rsidRDefault="00C90BDA" w:rsidP="00C90BDA">
      <w:pPr>
        <w:pStyle w:val="ListParagraph"/>
        <w:numPr>
          <w:ilvl w:val="1"/>
          <w:numId w:val="1"/>
        </w:numPr>
        <w:shd w:val="clear" w:color="auto" w:fill="FFFFFF"/>
        <w:rPr>
          <w:rFonts w:ascii="Arial" w:eastAsia="Times New Roman" w:hAnsi="Arial" w:cs="Arial"/>
          <w:b/>
          <w:bCs/>
          <w:color w:val="222222"/>
          <w:sz w:val="18"/>
          <w:szCs w:val="18"/>
        </w:rPr>
      </w:pPr>
      <w:r w:rsidRPr="00BB0347">
        <w:sym w:font="Wingdings" w:char="F0E0"/>
      </w:r>
      <w:r w:rsidRPr="00BA51EF">
        <w:rPr>
          <w:rFonts w:ascii="Arial" w:eastAsia="Times New Roman" w:hAnsi="Arial" w:cs="Arial"/>
          <w:color w:val="222222"/>
          <w:sz w:val="18"/>
          <w:szCs w:val="18"/>
        </w:rPr>
        <w:t xml:space="preserve"> oligo or amenorrhea, infertility </w:t>
      </w:r>
    </w:p>
    <w:p w:rsidR="00C90BDA" w:rsidRPr="00BA51EF" w:rsidRDefault="00C90BDA" w:rsidP="00C90BDA">
      <w:pPr>
        <w:pStyle w:val="ListParagraph"/>
        <w:numPr>
          <w:ilvl w:val="0"/>
          <w:numId w:val="1"/>
        </w:numPr>
        <w:shd w:val="clear" w:color="auto" w:fill="FFFFFF"/>
        <w:rPr>
          <w:rFonts w:ascii="Arial" w:eastAsia="Times New Roman" w:hAnsi="Arial" w:cs="Arial"/>
          <w:bCs/>
          <w:color w:val="222222"/>
          <w:sz w:val="18"/>
          <w:szCs w:val="18"/>
        </w:rPr>
      </w:pPr>
      <w:r w:rsidRPr="00BA51EF">
        <w:rPr>
          <w:rFonts w:ascii="Arial" w:eastAsia="Times New Roman" w:hAnsi="Arial" w:cs="Arial"/>
          <w:color w:val="222222"/>
          <w:sz w:val="18"/>
          <w:szCs w:val="18"/>
        </w:rPr>
        <w:t>Exam findings:</w:t>
      </w:r>
    </w:p>
    <w:p w:rsidR="00C90BDA" w:rsidRPr="00BB0347" w:rsidRDefault="00C90BDA" w:rsidP="00C90BDA">
      <w:pPr>
        <w:pStyle w:val="ListParagraph"/>
        <w:numPr>
          <w:ilvl w:val="1"/>
          <w:numId w:val="1"/>
        </w:numPr>
        <w:shd w:val="clear" w:color="auto" w:fill="FFFFFF"/>
        <w:rPr>
          <w:rFonts w:ascii="Arial" w:eastAsia="Times New Roman" w:hAnsi="Arial" w:cs="Arial"/>
          <w:b/>
          <w:bCs/>
          <w:color w:val="222222"/>
          <w:sz w:val="18"/>
          <w:szCs w:val="18"/>
        </w:rPr>
      </w:pPr>
      <w:r>
        <w:rPr>
          <w:rFonts w:ascii="Arial" w:eastAsia="Times New Roman" w:hAnsi="Arial" w:cs="Arial"/>
          <w:color w:val="222222"/>
          <w:sz w:val="18"/>
          <w:szCs w:val="18"/>
        </w:rPr>
        <w:t>D</w:t>
      </w:r>
      <w:r w:rsidRPr="00BB0347">
        <w:rPr>
          <w:rFonts w:ascii="Arial" w:eastAsia="Times New Roman" w:hAnsi="Arial" w:cs="Arial"/>
          <w:color w:val="222222"/>
          <w:sz w:val="18"/>
          <w:szCs w:val="18"/>
        </w:rPr>
        <w:t>elayed relaxation of DTRs, bradycardia, non-pitting edema, goiter</w:t>
      </w:r>
    </w:p>
    <w:p w:rsidR="00C90BDA" w:rsidRPr="00BA51EF" w:rsidRDefault="00C90BDA" w:rsidP="00C90BDA">
      <w:pPr>
        <w:pStyle w:val="ListParagraph"/>
        <w:numPr>
          <w:ilvl w:val="0"/>
          <w:numId w:val="1"/>
        </w:numPr>
        <w:shd w:val="clear" w:color="auto" w:fill="FFFFFF"/>
        <w:rPr>
          <w:rFonts w:ascii="Arial" w:eastAsia="Times New Roman" w:hAnsi="Arial" w:cs="Arial"/>
          <w:bCs/>
          <w:color w:val="222222"/>
          <w:sz w:val="18"/>
          <w:szCs w:val="18"/>
        </w:rPr>
      </w:pPr>
      <w:r w:rsidRPr="00BA51EF">
        <w:rPr>
          <w:rFonts w:ascii="Arial" w:eastAsia="Times New Roman" w:hAnsi="Arial" w:cs="Arial"/>
          <w:color w:val="222222"/>
          <w:sz w:val="18"/>
          <w:szCs w:val="18"/>
        </w:rPr>
        <w:t>Lab abnormalities:</w:t>
      </w:r>
    </w:p>
    <w:p w:rsidR="00C90BDA" w:rsidRPr="00BB0347" w:rsidRDefault="00C90BDA" w:rsidP="00C90BDA">
      <w:pPr>
        <w:pStyle w:val="ListParagraph"/>
        <w:numPr>
          <w:ilvl w:val="1"/>
          <w:numId w:val="1"/>
        </w:numPr>
        <w:shd w:val="clear" w:color="auto" w:fill="FFFFFF"/>
        <w:rPr>
          <w:rFonts w:ascii="Arial" w:eastAsia="Times New Roman" w:hAnsi="Arial" w:cs="Arial"/>
          <w:b/>
          <w:bCs/>
          <w:color w:val="222222"/>
          <w:sz w:val="18"/>
          <w:szCs w:val="18"/>
        </w:rPr>
      </w:pPr>
      <w:r>
        <w:rPr>
          <w:rFonts w:ascii="Arial" w:eastAsia="Times New Roman" w:hAnsi="Arial" w:cs="Arial"/>
          <w:color w:val="222222"/>
          <w:sz w:val="18"/>
          <w:szCs w:val="18"/>
        </w:rPr>
        <w:t>N</w:t>
      </w:r>
      <w:r w:rsidRPr="00BB0347">
        <w:rPr>
          <w:rFonts w:ascii="Arial" w:eastAsia="Times New Roman" w:hAnsi="Arial" w:cs="Arial"/>
          <w:color w:val="222222"/>
          <w:sz w:val="18"/>
          <w:szCs w:val="18"/>
        </w:rPr>
        <w:t>ormocytic anemia, hypercholesterolemia, hyponatremia (SIADH), hyperprolactinemia, CK elevation</w:t>
      </w:r>
    </w:p>
    <w:p w:rsidR="00C90BDA" w:rsidRPr="00BB0347" w:rsidRDefault="00C90BDA" w:rsidP="00C90BDA">
      <w:pPr>
        <w:shd w:val="clear" w:color="auto" w:fill="FFFFFF"/>
        <w:rPr>
          <w:rFonts w:ascii="Arial" w:eastAsia="Times New Roman" w:hAnsi="Arial" w:cs="Arial"/>
          <w:color w:val="222222"/>
          <w:sz w:val="18"/>
          <w:szCs w:val="18"/>
        </w:rPr>
      </w:pPr>
    </w:p>
    <w:p w:rsidR="00C90BDA" w:rsidRPr="00BB0347" w:rsidRDefault="00E92BB3" w:rsidP="00C90BDA">
      <w:pPr>
        <w:shd w:val="clear" w:color="auto" w:fill="FFFFFF"/>
        <w:rPr>
          <w:rFonts w:ascii="Arial" w:eastAsia="Times New Roman" w:hAnsi="Arial" w:cs="Arial"/>
          <w:b/>
          <w:bCs/>
          <w:color w:val="222222"/>
          <w:sz w:val="18"/>
          <w:szCs w:val="18"/>
        </w:rPr>
      </w:pPr>
      <w:r>
        <w:rPr>
          <w:noProof/>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44450</wp:posOffset>
            </wp:positionV>
            <wp:extent cx="1695450" cy="1162050"/>
            <wp:effectExtent l="0" t="0" r="0" b="0"/>
            <wp:wrapThrough wrapText="bothSides">
              <wp:wrapPolygon edited="0">
                <wp:start x="0" y="0"/>
                <wp:lineTo x="0" y="21246"/>
                <wp:lineTo x="21357" y="21246"/>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5450" cy="1162050"/>
                    </a:xfrm>
                    <a:prstGeom prst="rect">
                      <a:avLst/>
                    </a:prstGeom>
                  </pic:spPr>
                </pic:pic>
              </a:graphicData>
            </a:graphic>
            <wp14:sizeRelH relativeFrom="page">
              <wp14:pctWidth>0</wp14:pctWidth>
            </wp14:sizeRelH>
            <wp14:sizeRelV relativeFrom="page">
              <wp14:pctHeight>0</wp14:pctHeight>
            </wp14:sizeRelV>
          </wp:anchor>
        </w:drawing>
      </w:r>
      <w:r w:rsidR="00C90BDA" w:rsidRPr="00BB0347">
        <w:rPr>
          <w:rFonts w:ascii="Arial" w:eastAsia="Times New Roman" w:hAnsi="Arial" w:cs="Arial"/>
          <w:b/>
          <w:bCs/>
          <w:color w:val="222222"/>
          <w:sz w:val="18"/>
          <w:szCs w:val="18"/>
        </w:rPr>
        <w:t>Treatment:</w:t>
      </w:r>
    </w:p>
    <w:p w:rsidR="00C90BDA" w:rsidRPr="00BA51EF" w:rsidRDefault="00C90BDA" w:rsidP="00C90BDA">
      <w:pPr>
        <w:pStyle w:val="ListParagraph"/>
        <w:numPr>
          <w:ilvl w:val="0"/>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 xml:space="preserve">Thyroid replacement therapy: levothyroxine/synthroid </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Initial dose: 1.6 mcg/kg body weight per day (112 mcg/day in a 70-kg adult)</w:t>
      </w:r>
      <w:r w:rsidR="00E92BB3" w:rsidRPr="00E92BB3">
        <w:rPr>
          <w:noProof/>
        </w:rPr>
        <w:t xml:space="preserve"> </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Re-check TSH in 6-8 weeks (takes 6 weeks to reach steady state)</w:t>
      </w:r>
      <w:r w:rsidRPr="00BB0347">
        <w:sym w:font="Wingdings" w:char="F0E0"/>
      </w:r>
      <w:r w:rsidRPr="00BA51EF">
        <w:rPr>
          <w:rFonts w:ascii="Arial" w:eastAsia="Times New Roman" w:hAnsi="Arial" w:cs="Arial"/>
          <w:color w:val="222222"/>
          <w:sz w:val="18"/>
          <w:szCs w:val="18"/>
        </w:rPr>
        <w:t xml:space="preserve"> if TSH still elevated, increase by 12-25mcg/day and then re-check TSH in another 6 weeks</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Goal TSH 0.5-5.0  mU/L</w:t>
      </w:r>
    </w:p>
    <w:p w:rsidR="00C90BDA" w:rsidRPr="00BA51EF" w:rsidRDefault="00C90BDA" w:rsidP="00C90BDA">
      <w:pPr>
        <w:pStyle w:val="ListParagraph"/>
        <w:numPr>
          <w:ilvl w:val="0"/>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Special situations:</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Elderly patients &gt;50-60 years old: initial dose 50mcg/day</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History of CAD: initial dose 25mcg/day</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Pregnancy: increased T4 requirements due to increased TBG</w:t>
      </w:r>
    </w:p>
    <w:p w:rsidR="00C90BDA" w:rsidRPr="00BA51EF" w:rsidRDefault="00C90BDA" w:rsidP="00C90BDA">
      <w:pPr>
        <w:pStyle w:val="ListParagraph"/>
        <w:numPr>
          <w:ilvl w:val="1"/>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Poorly compliant patients: may give their weekly dose of T4 once per week</w:t>
      </w:r>
    </w:p>
    <w:p w:rsidR="00C90BDA" w:rsidRPr="00BA51EF" w:rsidRDefault="00C90BDA" w:rsidP="00C90BDA">
      <w:pPr>
        <w:pStyle w:val="ListParagraph"/>
        <w:numPr>
          <w:ilvl w:val="2"/>
          <w:numId w:val="4"/>
        </w:numPr>
        <w:shd w:val="clear" w:color="auto" w:fill="FFFFFF"/>
        <w:rPr>
          <w:rFonts w:ascii="Arial" w:eastAsia="Times New Roman" w:hAnsi="Arial" w:cs="Arial"/>
          <w:b/>
          <w:bCs/>
          <w:color w:val="222222"/>
          <w:sz w:val="18"/>
          <w:szCs w:val="18"/>
        </w:rPr>
      </w:pPr>
      <w:r w:rsidRPr="00BA51EF">
        <w:rPr>
          <w:rFonts w:ascii="Arial" w:eastAsia="Times New Roman" w:hAnsi="Arial" w:cs="Arial"/>
          <w:color w:val="222222"/>
          <w:sz w:val="18"/>
          <w:szCs w:val="18"/>
        </w:rPr>
        <w:t>J Clin Endocrinol Metab 1997—achieve euthyroidism and no difference in symptoms between daily or weekly dosing</w:t>
      </w:r>
    </w:p>
    <w:p w:rsidR="00C90BDA" w:rsidRPr="00BB0347" w:rsidRDefault="00C90BDA" w:rsidP="00C90BDA">
      <w:pPr>
        <w:shd w:val="clear" w:color="auto" w:fill="FFFFFF"/>
        <w:rPr>
          <w:rFonts w:ascii="Arial" w:eastAsia="Times New Roman" w:hAnsi="Arial" w:cs="Arial"/>
          <w:color w:val="222222"/>
          <w:sz w:val="18"/>
          <w:szCs w:val="18"/>
        </w:rPr>
      </w:pPr>
    </w:p>
    <w:p w:rsidR="00C90BDA" w:rsidRPr="00BA51EF" w:rsidRDefault="00C90BDA" w:rsidP="00C90BDA">
      <w:pPr>
        <w:shd w:val="clear" w:color="auto" w:fill="FFFFFF"/>
        <w:rPr>
          <w:rFonts w:ascii="Arial" w:eastAsia="Times New Roman" w:hAnsi="Arial" w:cs="Arial"/>
          <w:b/>
          <w:bCs/>
          <w:color w:val="FF0000"/>
          <w:sz w:val="18"/>
          <w:szCs w:val="18"/>
        </w:rPr>
      </w:pPr>
      <w:r>
        <w:rPr>
          <w:rFonts w:ascii="Arial" w:eastAsia="Times New Roman" w:hAnsi="Arial" w:cs="Arial"/>
          <w:b/>
          <w:bCs/>
          <w:color w:val="FF0000"/>
          <w:sz w:val="18"/>
          <w:szCs w:val="18"/>
        </w:rPr>
        <w:t>Treating Hypothyroidism at</w:t>
      </w:r>
      <w:r w:rsidRPr="00BA51EF">
        <w:rPr>
          <w:rFonts w:ascii="Arial" w:eastAsia="Times New Roman" w:hAnsi="Arial" w:cs="Arial"/>
          <w:b/>
          <w:bCs/>
          <w:color w:val="FF0000"/>
          <w:sz w:val="18"/>
          <w:szCs w:val="18"/>
        </w:rPr>
        <w:t xml:space="preserve"> IMA:</w:t>
      </w:r>
    </w:p>
    <w:p w:rsidR="00C90BDA" w:rsidRDefault="00C90BDA" w:rsidP="00C90BDA">
      <w:pPr>
        <w:pStyle w:val="ListParagraph"/>
        <w:numPr>
          <w:ilvl w:val="0"/>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Order: "TSH with reflex T4"</w:t>
      </w:r>
    </w:p>
    <w:p w:rsidR="00C90BDA" w:rsidRDefault="00C90BDA" w:rsidP="00C90BDA">
      <w:pPr>
        <w:pStyle w:val="ListParagraph"/>
        <w:numPr>
          <w:ilvl w:val="0"/>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Who to test?</w:t>
      </w:r>
    </w:p>
    <w:p w:rsidR="00C90BDA" w:rsidRDefault="00C90BDA" w:rsidP="00C90BDA">
      <w:pPr>
        <w:pStyle w:val="ListParagraph"/>
        <w:numPr>
          <w:ilvl w:val="1"/>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NO population-based screening for hypothyroidism</w:t>
      </w:r>
    </w:p>
    <w:p w:rsidR="00C90BDA" w:rsidRDefault="00C90BDA" w:rsidP="00C90BDA">
      <w:pPr>
        <w:pStyle w:val="ListParagraph"/>
        <w:numPr>
          <w:ilvl w:val="1"/>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 xml:space="preserve">Only test if patient is symptomatic or if asymptomatic but </w:t>
      </w:r>
      <w:r w:rsidRPr="00BA51EF">
        <w:rPr>
          <w:rFonts w:ascii="Arial" w:eastAsia="Times New Roman" w:hAnsi="Arial" w:cs="Arial"/>
          <w:color w:val="222222"/>
          <w:sz w:val="18"/>
          <w:szCs w:val="18"/>
          <w:u w:val="single"/>
        </w:rPr>
        <w:t>at risk:</w:t>
      </w:r>
      <w:r w:rsidRPr="00BA51EF">
        <w:rPr>
          <w:rFonts w:ascii="Arial" w:eastAsia="Times New Roman" w:hAnsi="Arial" w:cs="Arial"/>
          <w:color w:val="222222"/>
          <w:sz w:val="18"/>
          <w:szCs w:val="18"/>
        </w:rPr>
        <w:t xml:space="preserve"> </w:t>
      </w:r>
    </w:p>
    <w:p w:rsidR="00C90BDA" w:rsidRDefault="00C90BDA" w:rsidP="00C90BDA">
      <w:pPr>
        <w:pStyle w:val="ListParagraph"/>
        <w:numPr>
          <w:ilvl w:val="2"/>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History of goiter, history of autoimmune disease, family history of thyroid disease, previous radioactive iodine therapy, and/or head and neck irradiation, family history of thyroid disease; on medications such as lithium, amiodarone</w:t>
      </w:r>
    </w:p>
    <w:p w:rsidR="00C90BDA" w:rsidRDefault="00C90BDA" w:rsidP="00C90BDA">
      <w:pPr>
        <w:pStyle w:val="ListParagraph"/>
        <w:numPr>
          <w:ilvl w:val="0"/>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Endocrine E-Consult</w:t>
      </w:r>
    </w:p>
    <w:p w:rsidR="00C90BDA" w:rsidRDefault="00C90BDA" w:rsidP="00C90BDA">
      <w:pPr>
        <w:pStyle w:val="ListParagraph"/>
        <w:numPr>
          <w:ilvl w:val="1"/>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lastRenderedPageBreak/>
        <w:t xml:space="preserve">Allows you to submit clinical questions to Sinai endocrinologists and get timely responses/ recommendations </w:t>
      </w:r>
    </w:p>
    <w:p w:rsidR="00C90BDA" w:rsidRPr="00BA51EF" w:rsidRDefault="00C90BDA" w:rsidP="00C90BDA">
      <w:pPr>
        <w:pStyle w:val="ListParagraph"/>
        <w:numPr>
          <w:ilvl w:val="1"/>
          <w:numId w:val="5"/>
        </w:numPr>
        <w:shd w:val="clear" w:color="auto" w:fill="FFFFFF"/>
        <w:rPr>
          <w:rFonts w:ascii="Arial" w:eastAsia="Times New Roman" w:hAnsi="Arial" w:cs="Arial"/>
          <w:color w:val="222222"/>
          <w:sz w:val="18"/>
          <w:szCs w:val="18"/>
        </w:rPr>
      </w:pPr>
      <w:r w:rsidRPr="00BA51EF">
        <w:rPr>
          <w:rFonts w:ascii="Arial" w:eastAsia="Times New Roman" w:hAnsi="Arial" w:cs="Arial"/>
          <w:color w:val="222222"/>
          <w:sz w:val="18"/>
          <w:szCs w:val="18"/>
        </w:rPr>
        <w:t xml:space="preserve">Order: “E-consult” and complete the referral template in the comment box </w:t>
      </w:r>
    </w:p>
    <w:p w:rsidR="00C90BDA" w:rsidRPr="00BB0347" w:rsidRDefault="00C90BDA" w:rsidP="00C90BDA">
      <w:pPr>
        <w:shd w:val="clear" w:color="auto" w:fill="FFFFFF"/>
        <w:rPr>
          <w:rFonts w:ascii="Arial" w:eastAsia="Times New Roman" w:hAnsi="Arial" w:cs="Arial"/>
          <w:color w:val="222222"/>
          <w:sz w:val="18"/>
          <w:szCs w:val="18"/>
        </w:rPr>
      </w:pPr>
    </w:p>
    <w:p w:rsidR="00C90BDA" w:rsidRPr="00BB0347" w:rsidRDefault="00C90BDA" w:rsidP="00C90BDA">
      <w:pPr>
        <w:shd w:val="clear" w:color="auto" w:fill="FFFFFF"/>
        <w:rPr>
          <w:rFonts w:ascii="Arial" w:eastAsia="Times New Roman" w:hAnsi="Arial" w:cs="Arial"/>
          <w:i/>
          <w:color w:val="222222"/>
          <w:sz w:val="18"/>
          <w:szCs w:val="18"/>
        </w:rPr>
      </w:pPr>
      <w:r w:rsidRPr="00BB0347">
        <w:rPr>
          <w:rFonts w:ascii="Arial" w:eastAsia="Times New Roman" w:hAnsi="Arial" w:cs="Arial"/>
          <w:i/>
          <w:color w:val="222222"/>
          <w:sz w:val="18"/>
          <w:szCs w:val="18"/>
        </w:rPr>
        <w:t>“The American Thyroid Association (ATA) and the American Association of Clinical Endocrinologists (AACE) recommend measurement of TSH in any individual at risk for hypothyroidism (eg, personal history of type 1 diabetes or other autoimmune disease, family history of thyroid disease, history of neck radiation to the thyroid, history of thyroid surgery) and consideration of measurement of TSH in patients over the age of 60 years”</w:t>
      </w:r>
    </w:p>
    <w:p w:rsidR="005F53CB" w:rsidRDefault="005F53CB">
      <w:bookmarkStart w:id="0" w:name="_GoBack"/>
      <w:bookmarkEnd w:id="0"/>
    </w:p>
    <w:sectPr w:rsidR="005F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331"/>
    <w:multiLevelType w:val="hybridMultilevel"/>
    <w:tmpl w:val="763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D1E"/>
    <w:multiLevelType w:val="hybridMultilevel"/>
    <w:tmpl w:val="E20C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63B1"/>
    <w:multiLevelType w:val="hybridMultilevel"/>
    <w:tmpl w:val="943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32A7"/>
    <w:multiLevelType w:val="hybridMultilevel"/>
    <w:tmpl w:val="BC6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25E38"/>
    <w:multiLevelType w:val="hybridMultilevel"/>
    <w:tmpl w:val="8F4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A"/>
    <w:rsid w:val="000013D9"/>
    <w:rsid w:val="0000306E"/>
    <w:rsid w:val="000868DF"/>
    <w:rsid w:val="000B3860"/>
    <w:rsid w:val="000C0C38"/>
    <w:rsid w:val="000D3B45"/>
    <w:rsid w:val="000E36D9"/>
    <w:rsid w:val="00106479"/>
    <w:rsid w:val="00123FE2"/>
    <w:rsid w:val="0012603F"/>
    <w:rsid w:val="00132D38"/>
    <w:rsid w:val="00151EB2"/>
    <w:rsid w:val="00156F19"/>
    <w:rsid w:val="00157873"/>
    <w:rsid w:val="00173CF9"/>
    <w:rsid w:val="00181B05"/>
    <w:rsid w:val="001A25FC"/>
    <w:rsid w:val="001A40A5"/>
    <w:rsid w:val="001A4F23"/>
    <w:rsid w:val="001F7A64"/>
    <w:rsid w:val="002233D5"/>
    <w:rsid w:val="00235C2A"/>
    <w:rsid w:val="00236A73"/>
    <w:rsid w:val="0024152C"/>
    <w:rsid w:val="002B68FE"/>
    <w:rsid w:val="002B7602"/>
    <w:rsid w:val="0033142D"/>
    <w:rsid w:val="00356AE4"/>
    <w:rsid w:val="00374392"/>
    <w:rsid w:val="00382458"/>
    <w:rsid w:val="003A4A72"/>
    <w:rsid w:val="003C7FC8"/>
    <w:rsid w:val="003D03F5"/>
    <w:rsid w:val="003D103F"/>
    <w:rsid w:val="003D6A2A"/>
    <w:rsid w:val="003E02AE"/>
    <w:rsid w:val="003E2E00"/>
    <w:rsid w:val="003F3A44"/>
    <w:rsid w:val="00425C36"/>
    <w:rsid w:val="00465826"/>
    <w:rsid w:val="00475B66"/>
    <w:rsid w:val="004A74FB"/>
    <w:rsid w:val="004D4636"/>
    <w:rsid w:val="004D6E78"/>
    <w:rsid w:val="005033FB"/>
    <w:rsid w:val="00504F90"/>
    <w:rsid w:val="00556F6C"/>
    <w:rsid w:val="00567874"/>
    <w:rsid w:val="00570D38"/>
    <w:rsid w:val="005834C2"/>
    <w:rsid w:val="005A79DA"/>
    <w:rsid w:val="005C3E10"/>
    <w:rsid w:val="005C5E4B"/>
    <w:rsid w:val="005E7B00"/>
    <w:rsid w:val="005F53CB"/>
    <w:rsid w:val="0062429B"/>
    <w:rsid w:val="006258A3"/>
    <w:rsid w:val="00631594"/>
    <w:rsid w:val="0065673D"/>
    <w:rsid w:val="00665A45"/>
    <w:rsid w:val="00674D09"/>
    <w:rsid w:val="006B39BA"/>
    <w:rsid w:val="006D158E"/>
    <w:rsid w:val="006D3FDF"/>
    <w:rsid w:val="0074366A"/>
    <w:rsid w:val="00760E19"/>
    <w:rsid w:val="00790111"/>
    <w:rsid w:val="00793621"/>
    <w:rsid w:val="007B196B"/>
    <w:rsid w:val="007B3611"/>
    <w:rsid w:val="007B777B"/>
    <w:rsid w:val="007C61A7"/>
    <w:rsid w:val="00807751"/>
    <w:rsid w:val="008162D5"/>
    <w:rsid w:val="00816C50"/>
    <w:rsid w:val="00836152"/>
    <w:rsid w:val="0089562D"/>
    <w:rsid w:val="008B11E6"/>
    <w:rsid w:val="008B20FF"/>
    <w:rsid w:val="008F0D1E"/>
    <w:rsid w:val="0092705B"/>
    <w:rsid w:val="009369F6"/>
    <w:rsid w:val="00952972"/>
    <w:rsid w:val="009A1EC3"/>
    <w:rsid w:val="009A69BF"/>
    <w:rsid w:val="009E35EC"/>
    <w:rsid w:val="009E5EE8"/>
    <w:rsid w:val="009F5AD3"/>
    <w:rsid w:val="00A06CB3"/>
    <w:rsid w:val="00A106A2"/>
    <w:rsid w:val="00A34C7D"/>
    <w:rsid w:val="00A6358B"/>
    <w:rsid w:val="00A658C8"/>
    <w:rsid w:val="00A65EA8"/>
    <w:rsid w:val="00A77691"/>
    <w:rsid w:val="00A8574B"/>
    <w:rsid w:val="00A965E3"/>
    <w:rsid w:val="00AA24C0"/>
    <w:rsid w:val="00AA25A9"/>
    <w:rsid w:val="00AA56EB"/>
    <w:rsid w:val="00AC7EAE"/>
    <w:rsid w:val="00AE15DF"/>
    <w:rsid w:val="00AE2DFD"/>
    <w:rsid w:val="00B143DC"/>
    <w:rsid w:val="00B27E8E"/>
    <w:rsid w:val="00B43C58"/>
    <w:rsid w:val="00B44613"/>
    <w:rsid w:val="00B72333"/>
    <w:rsid w:val="00B75D06"/>
    <w:rsid w:val="00B841EB"/>
    <w:rsid w:val="00B84C7B"/>
    <w:rsid w:val="00B860E6"/>
    <w:rsid w:val="00BB602F"/>
    <w:rsid w:val="00BB7941"/>
    <w:rsid w:val="00BE6791"/>
    <w:rsid w:val="00C02CF4"/>
    <w:rsid w:val="00C608D6"/>
    <w:rsid w:val="00C63C3B"/>
    <w:rsid w:val="00C90BDA"/>
    <w:rsid w:val="00CA3903"/>
    <w:rsid w:val="00CC57F9"/>
    <w:rsid w:val="00CE6056"/>
    <w:rsid w:val="00D00671"/>
    <w:rsid w:val="00D21C50"/>
    <w:rsid w:val="00D32C03"/>
    <w:rsid w:val="00D540BC"/>
    <w:rsid w:val="00D649A4"/>
    <w:rsid w:val="00D66CBF"/>
    <w:rsid w:val="00D976F0"/>
    <w:rsid w:val="00DA29A6"/>
    <w:rsid w:val="00DA4F61"/>
    <w:rsid w:val="00DE179C"/>
    <w:rsid w:val="00E10994"/>
    <w:rsid w:val="00E267F6"/>
    <w:rsid w:val="00E37A3A"/>
    <w:rsid w:val="00E56A1C"/>
    <w:rsid w:val="00E92BB3"/>
    <w:rsid w:val="00EC3EA8"/>
    <w:rsid w:val="00EC7389"/>
    <w:rsid w:val="00F43422"/>
    <w:rsid w:val="00F46C3F"/>
    <w:rsid w:val="00F560BC"/>
    <w:rsid w:val="00F84632"/>
    <w:rsid w:val="00F84EA5"/>
    <w:rsid w:val="00F84F6F"/>
    <w:rsid w:val="00F954EF"/>
    <w:rsid w:val="00FC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8C74-9E5F-43E9-8654-EBE3400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Coyle</dc:creator>
  <cp:keywords/>
  <dc:description/>
  <cp:lastModifiedBy>Andrew Coyle</cp:lastModifiedBy>
  <cp:revision>2</cp:revision>
  <dcterms:created xsi:type="dcterms:W3CDTF">2017-09-11T12:04:00Z</dcterms:created>
  <dcterms:modified xsi:type="dcterms:W3CDTF">2017-09-11T12:04:00Z</dcterms:modified>
</cp:coreProperties>
</file>